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071C2C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8"/>
              </w:rPr>
              <w:t>NAUTILUS INTELLIGENCE™</w:t>
            </w:r>
          </w:p>
          <w:p>
            <w:pPr>
              <w:spacing w:after="0"/>
            </w:pPr>
            <w:r>
              <w:rPr>
                <w:b/>
                <w:color w:val="8CE3DC"/>
                <w:sz w:val="16"/>
              </w:rPr>
              <w:t>Benefits Diligence</w:t>
            </w:r>
          </w:p>
        </w:tc>
        <w:tc>
          <w:tcPr>
            <w:tcW w:type="dxa" w:w="5184"/>
            <w:shd w:fill="071C2C"/>
            <w:tcMar>
              <w:top w:w="140" w:type="dxa"/>
              <w:start w:w="150" w:type="dxa"/>
              <w:bottom w:w="140" w:type="dxa"/>
              <w:end w:w="150" w:type="dxa"/>
            </w:tcMar>
          </w:tcPr>
          <w:p>
            <w:pPr>
              <w:jc w:val="right"/>
            </w:pPr>
            <w:r>
              <w:rPr>
                <w:b/>
                <w:color w:val="FFFFFF"/>
                <w:sz w:val="18"/>
              </w:rPr>
              <w:t>FREE FIT REVIEW</w:t>
            </w:r>
          </w:p>
        </w:tc>
      </w:tr>
    </w:tbl>
    <w:p>
      <w:pPr>
        <w:pStyle w:val="Title"/>
      </w:pPr>
      <w:r>
        <w:t>Fit Review Intake</w:t>
      </w:r>
    </w:p>
    <w:p>
      <w:pPr>
        <w:spacing w:after="140"/>
      </w:pPr>
      <w:r>
        <w:rPr>
          <w:color w:val="53697A"/>
          <w:sz w:val="21"/>
        </w:rPr>
        <w:t>Use this form to define the workflow, document type, output, validation, and intended product layer.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FF8E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>
              <w:rPr>
                <w:b/>
                <w:color w:val="6A5730"/>
              </w:rPr>
              <w:t xml:space="preserve">Before sending: </w:t>
            </w:r>
            <w:r>
              <w:rPr>
                <w:color w:val="6A5730"/>
              </w:rPr>
              <w:t>Do not include employee-level data, claims files, Social Security numbers, dates of birth, medical records, payroll files, or confidential deal documents at the intake stage.</w:t>
            </w:r>
          </w:p>
        </w:tc>
      </w:tr>
    </w:tbl>
    <w:p>
      <w:pPr>
        <w:pStyle w:val="Heading1"/>
      </w:pPr>
      <w:r>
        <w:t>Contact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shd w:fill="EEF7F5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071C2C"/>
              </w:rPr>
              <w:t>Name</w:t>
            </w:r>
          </w:p>
        </w:tc>
        <w:tc>
          <w:tcPr>
            <w:tcW w:type="dxa" w:w="5184"/>
            <w:vAlign w:val="center"/>
            <w:tcMar>
              <w:top w:w="110" w:type="dxa"/>
              <w:start w:w="100" w:type="dxa"/>
              <w:bottom w:w="210" w:type="dxa"/>
              <w:end w:w="100" w:type="dxa"/>
            </w:tcMar>
          </w:tcPr>
          <w:p>
            <w:pPr>
              <w:spacing w:after="0"/>
            </w:pPr>
            <w:r>
              <w:rPr>
                <w:color w:val="5F6E78"/>
              </w:rPr>
              <w:t>Enter name</w:t>
            </w:r>
          </w:p>
        </w:tc>
      </w:tr>
      <w:tr>
        <w:tc>
          <w:tcPr>
            <w:tcW w:type="dxa" w:w="5184"/>
            <w:vAlign w:val="center"/>
            <w:shd w:fill="EEF7F5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071C2C"/>
              </w:rPr>
              <w:t>Email</w:t>
            </w:r>
          </w:p>
        </w:tc>
        <w:tc>
          <w:tcPr>
            <w:tcW w:type="dxa" w:w="5184"/>
            <w:vAlign w:val="center"/>
            <w:tcMar>
              <w:top w:w="110" w:type="dxa"/>
              <w:start w:w="100" w:type="dxa"/>
              <w:bottom w:w="210" w:type="dxa"/>
              <w:end w:w="100" w:type="dxa"/>
            </w:tcMar>
          </w:tcPr>
          <w:p>
            <w:pPr>
              <w:spacing w:after="0"/>
            </w:pPr>
            <w:r>
              <w:rPr>
                <w:color w:val="5F6E78"/>
              </w:rPr>
              <w:t>Enter email</w:t>
            </w:r>
          </w:p>
        </w:tc>
      </w:tr>
      <w:tr>
        <w:tc>
          <w:tcPr>
            <w:tcW w:type="dxa" w:w="5184"/>
            <w:vAlign w:val="center"/>
            <w:shd w:fill="EEF7F5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071C2C"/>
              </w:rPr>
              <w:t>Company</w:t>
            </w:r>
          </w:p>
        </w:tc>
        <w:tc>
          <w:tcPr>
            <w:tcW w:type="dxa" w:w="5184"/>
            <w:vAlign w:val="center"/>
            <w:tcMar>
              <w:top w:w="110" w:type="dxa"/>
              <w:start w:w="100" w:type="dxa"/>
              <w:bottom w:w="210" w:type="dxa"/>
              <w:end w:w="100" w:type="dxa"/>
            </w:tcMar>
          </w:tcPr>
          <w:p>
            <w:pPr>
              <w:spacing w:after="0"/>
            </w:pPr>
            <w:r>
              <w:rPr>
                <w:color w:val="5F6E78"/>
              </w:rPr>
              <w:t>Enter company</w:t>
            </w:r>
          </w:p>
        </w:tc>
      </w:tr>
      <w:tr>
        <w:tc>
          <w:tcPr>
            <w:tcW w:type="dxa" w:w="5184"/>
            <w:vAlign w:val="center"/>
            <w:shd w:fill="EEF7F5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071C2C"/>
              </w:rPr>
              <w:t>Role</w:t>
            </w:r>
          </w:p>
        </w:tc>
        <w:tc>
          <w:tcPr>
            <w:tcW w:type="dxa" w:w="5184"/>
            <w:vAlign w:val="center"/>
            <w:tcMar>
              <w:top w:w="110" w:type="dxa"/>
              <w:start w:w="100" w:type="dxa"/>
              <w:bottom w:w="210" w:type="dxa"/>
              <w:end w:w="100" w:type="dxa"/>
            </w:tcMar>
          </w:tcPr>
          <w:p>
            <w:pPr>
              <w:spacing w:after="0"/>
            </w:pPr>
            <w:r>
              <w:rPr>
                <w:color w:val="5F6E78"/>
              </w:rPr>
              <w:t>Enter role</w:t>
            </w:r>
          </w:p>
        </w:tc>
      </w:tr>
    </w:tbl>
    <w:p>
      <w:pPr>
        <w:spacing w:after="0"/>
      </w:pPr>
    </w:p>
    <w:p>
      <w:pPr>
        <w:pStyle w:val="Heading1"/>
      </w:pPr>
      <w:r>
        <w:t>Firm and use case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shd w:fill="EEF7F5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071C2C"/>
              </w:rPr>
              <w:t>Organization type</w:t>
            </w:r>
          </w:p>
        </w:tc>
        <w:tc>
          <w:tcPr>
            <w:tcW w:type="dxa" w:w="5184"/>
            <w:vAlign w:val="center"/>
            <w:tcMar>
              <w:top w:w="110" w:type="dxa"/>
              <w:start w:w="100" w:type="dxa"/>
              <w:bottom w:w="210" w:type="dxa"/>
              <w:end w:w="100" w:type="dxa"/>
            </w:tcMar>
          </w:tcPr>
          <w:p>
            <w:pPr>
              <w:spacing w:after="0"/>
            </w:pPr>
            <w:r>
              <w:rPr>
                <w:color w:val="5F6E78"/>
              </w:rPr>
              <w:t>Broker / consultant / PE firm / advisor / counsel / operating team / other</w:t>
            </w:r>
          </w:p>
        </w:tc>
      </w:tr>
      <w:tr>
        <w:tc>
          <w:tcPr>
            <w:tcW w:type="dxa" w:w="5184"/>
            <w:vAlign w:val="center"/>
            <w:shd w:fill="EEF7F5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071C2C"/>
              </w:rPr>
              <w:t>Engagement context</w:t>
            </w:r>
          </w:p>
        </w:tc>
        <w:tc>
          <w:tcPr>
            <w:tcW w:type="dxa" w:w="5184"/>
            <w:vAlign w:val="center"/>
            <w:tcMar>
              <w:top w:w="110" w:type="dxa"/>
              <w:start w:w="100" w:type="dxa"/>
              <w:bottom w:w="210" w:type="dxa"/>
              <w:end w:w="100" w:type="dxa"/>
            </w:tcMar>
          </w:tcPr>
          <w:p>
            <w:pPr>
              <w:spacing w:after="0"/>
            </w:pPr>
            <w:r>
              <w:rPr>
                <w:color w:val="5F6E78"/>
              </w:rPr>
              <w:t>Recurring workflow / active transaction / exploratory pilot</w:t>
            </w:r>
          </w:p>
        </w:tc>
      </w:tr>
      <w:tr>
        <w:tc>
          <w:tcPr>
            <w:tcW w:type="dxa" w:w="5184"/>
            <w:vAlign w:val="center"/>
            <w:shd w:fill="EEF7F5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071C2C"/>
              </w:rPr>
              <w:t>Current process</w:t>
            </w:r>
          </w:p>
        </w:tc>
        <w:tc>
          <w:tcPr>
            <w:tcW w:type="dxa" w:w="5184"/>
            <w:vAlign w:val="center"/>
            <w:tcMar>
              <w:top w:w="110" w:type="dxa"/>
              <w:start w:w="100" w:type="dxa"/>
              <w:bottom w:w="210" w:type="dxa"/>
              <w:end w:w="100" w:type="dxa"/>
            </w:tcMar>
          </w:tcPr>
          <w:p>
            <w:pPr>
              <w:spacing w:after="0"/>
            </w:pPr>
            <w:r>
              <w:rPr>
                <w:color w:val="5F6E78"/>
              </w:rPr>
              <w:t>Describe the current workflow</w:t>
            </w:r>
          </w:p>
        </w:tc>
      </w:tr>
      <w:tr>
        <w:tc>
          <w:tcPr>
            <w:tcW w:type="dxa" w:w="5184"/>
            <w:vAlign w:val="center"/>
            <w:shd w:fill="EEF7F5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071C2C"/>
              </w:rPr>
              <w:t>Primary pain point</w:t>
            </w:r>
          </w:p>
        </w:tc>
        <w:tc>
          <w:tcPr>
            <w:tcW w:type="dxa" w:w="5184"/>
            <w:vAlign w:val="center"/>
            <w:tcMar>
              <w:top w:w="110" w:type="dxa"/>
              <w:start w:w="100" w:type="dxa"/>
              <w:bottom w:w="210" w:type="dxa"/>
              <w:end w:w="100" w:type="dxa"/>
            </w:tcMar>
          </w:tcPr>
          <w:p>
            <w:pPr>
              <w:spacing w:after="0"/>
            </w:pPr>
            <w:r>
              <w:rPr>
                <w:color w:val="5F6E78"/>
              </w:rPr>
              <w:t>Describe the main bottleneck, risk, or inconsistency</w:t>
            </w:r>
          </w:p>
        </w:tc>
      </w:tr>
    </w:tbl>
    <w:p>
      <w:pPr>
        <w:spacing w:after="0"/>
      </w:pPr>
    </w:p>
    <w:p>
      <w:pPr>
        <w:pStyle w:val="Heading1"/>
      </w:pPr>
      <w:r>
        <w:t>Preferred entry layer</w:t>
      </w:r>
    </w:p>
    <w:p>
      <w:pPr>
        <w:spacing w:after="40"/>
        <w:ind w:left="216"/>
      </w:pPr>
      <w:r>
        <w:t>☐ Tier 1 — Individual Document Intelligence Tool / parser</w:t>
      </w:r>
    </w:p>
    <w:p>
      <w:pPr>
        <w:spacing w:after="40"/>
        <w:ind w:left="216"/>
      </w:pPr>
      <w:r>
        <w:t>☐ Tier 2 — Full Diligence Review Engine / report generation / living DRL</w:t>
      </w:r>
    </w:p>
    <w:p>
      <w:pPr>
        <w:spacing w:after="40"/>
        <w:ind w:left="216"/>
      </w:pPr>
      <w:r>
        <w:t>☐ Tier 3 — Diligence OS</w:t>
      </w:r>
    </w:p>
    <w:p>
      <w:pPr>
        <w:spacing w:after="40"/>
        <w:ind w:left="216"/>
      </w:pPr>
      <w:r>
        <w:t>☐ Tier 4 — Client-Facing Intelligence Dashboard</w:t>
      </w:r>
    </w:p>
    <w:p>
      <w:pPr>
        <w:spacing w:after="40"/>
        <w:ind w:left="216"/>
      </w:pPr>
      <w:r>
        <w:t>☐ Not yet determined</w:t>
      </w:r>
    </w:p>
    <w:p>
      <w:pPr>
        <w:pStyle w:val="Heading1"/>
      </w:pPr>
      <w:r>
        <w:t>Document type or transaction scope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t>☐ SBC</w:t>
            </w:r>
          </w:p>
        </w:tc>
        <w:tc>
          <w:tcPr>
            <w:tcW w:type="dxa" w:w="5184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t>☐ Open Enrollment / New Hire Guide</w:t>
            </w:r>
          </w:p>
        </w:tc>
      </w:tr>
      <w:tr>
        <w:tc>
          <w:tcPr>
            <w:tcW w:type="dxa" w:w="5184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t>☐ Invoice</w:t>
            </w:r>
          </w:p>
        </w:tc>
        <w:tc>
          <w:tcPr>
            <w:tcW w:type="dxa" w:w="5184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t>☐ SPD / Wrap SPD</w:t>
            </w:r>
          </w:p>
        </w:tc>
      </w:tr>
      <w:tr>
        <w:tc>
          <w:tcPr>
            <w:tcW w:type="dxa" w:w="5184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t>☐ Policy / certificate</w:t>
            </w:r>
          </w:p>
        </w:tc>
        <w:tc>
          <w:tcPr>
            <w:tcW w:type="dxa" w:w="5184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t>☐ Rate sheet / contribution file</w:t>
            </w:r>
          </w:p>
        </w:tc>
      </w:tr>
      <w:tr>
        <w:tc>
          <w:tcPr>
            <w:tcW w:type="dxa" w:w="5184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t>☐ Census summary</w:t>
            </w:r>
          </w:p>
        </w:tc>
        <w:tc>
          <w:tcPr>
            <w:tcW w:type="dxa" w:w="5184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t>☐ Seller response / call note</w:t>
            </w:r>
          </w:p>
        </w:tc>
      </w:tr>
      <w:tr>
        <w:tc>
          <w:tcPr>
            <w:tcW w:type="dxa" w:w="5184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t>☐ Multi-document target or buyer data room</w:t>
            </w:r>
          </w:p>
        </w:tc>
        <w:tc>
          <w:tcPr>
            <w:tcW w:type="dxa" w:w="5184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t>☐ Other</w:t>
            </w:r>
          </w:p>
        </w:tc>
      </w:tr>
    </w:tbl>
    <w:p/>
    <w:p>
      <w:pPr>
        <w:pStyle w:val="Heading1"/>
      </w:pPr>
      <w:r>
        <w:t>Required output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shd w:fill="EEF7F5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071C2C"/>
              </w:rPr>
              <w:t>Required fields or questions</w:t>
            </w:r>
          </w:p>
        </w:tc>
        <w:tc>
          <w:tcPr>
            <w:tcW w:type="dxa" w:w="5184"/>
            <w:vAlign w:val="center"/>
            <w:tcMar>
              <w:top w:w="110" w:type="dxa"/>
              <w:start w:w="100" w:type="dxa"/>
              <w:bottom w:w="210" w:type="dxa"/>
              <w:end w:w="100" w:type="dxa"/>
            </w:tcMar>
          </w:tcPr>
          <w:p>
            <w:pPr>
              <w:spacing w:after="0"/>
            </w:pPr>
            <w:r>
              <w:rPr>
                <w:color w:val="5F6E78"/>
              </w:rPr>
              <w:t>List the fields, facts, or questions the output must address</w:t>
            </w:r>
          </w:p>
        </w:tc>
      </w:tr>
      <w:tr>
        <w:tc>
          <w:tcPr>
            <w:tcW w:type="dxa" w:w="5184"/>
            <w:vAlign w:val="center"/>
            <w:shd w:fill="EEF7F5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071C2C"/>
              </w:rPr>
              <w:t>JSON / schema requirements</w:t>
            </w:r>
          </w:p>
        </w:tc>
        <w:tc>
          <w:tcPr>
            <w:tcW w:type="dxa" w:w="5184"/>
            <w:vAlign w:val="center"/>
            <w:tcMar>
              <w:top w:w="110" w:type="dxa"/>
              <w:start w:w="100" w:type="dxa"/>
              <w:bottom w:w="210" w:type="dxa"/>
              <w:end w:w="100" w:type="dxa"/>
            </w:tcMar>
          </w:tcPr>
          <w:p>
            <w:pPr>
              <w:spacing w:after="0"/>
            </w:pPr>
            <w:r>
              <w:rPr>
                <w:color w:val="5F6E78"/>
              </w:rPr>
              <w:t>Describe required schema, field names, formats, or downstream systems</w:t>
            </w:r>
          </w:p>
        </w:tc>
      </w:tr>
      <w:tr>
        <w:tc>
          <w:tcPr>
            <w:tcW w:type="dxa" w:w="5184"/>
            <w:vAlign w:val="center"/>
            <w:shd w:fill="EEF7F5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071C2C"/>
              </w:rPr>
              <w:t>Evidence requirements</w:t>
            </w:r>
          </w:p>
        </w:tc>
        <w:tc>
          <w:tcPr>
            <w:tcW w:type="dxa" w:w="5184"/>
            <w:vAlign w:val="center"/>
            <w:tcMar>
              <w:top w:w="110" w:type="dxa"/>
              <w:start w:w="100" w:type="dxa"/>
              <w:bottom w:w="210" w:type="dxa"/>
              <w:end w:w="100" w:type="dxa"/>
            </w:tcMar>
          </w:tcPr>
          <w:p>
            <w:pPr>
              <w:spacing w:after="0"/>
            </w:pPr>
            <w:r>
              <w:rPr>
                <w:color w:val="5F6E78"/>
              </w:rPr>
              <w:t>Describe source-page, excerpt, image-region, confidence, or reviewer requirements</w:t>
            </w:r>
          </w:p>
        </w:tc>
      </w:tr>
      <w:tr>
        <w:tc>
          <w:tcPr>
            <w:tcW w:type="dxa" w:w="5184"/>
            <w:vAlign w:val="center"/>
            <w:shd w:fill="EEF7F5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071C2C"/>
              </w:rPr>
              <w:t>Human validation</w:t>
            </w:r>
          </w:p>
        </w:tc>
        <w:tc>
          <w:tcPr>
            <w:tcW w:type="dxa" w:w="5184"/>
            <w:vAlign w:val="center"/>
            <w:tcMar>
              <w:top w:w="110" w:type="dxa"/>
              <w:start w:w="100" w:type="dxa"/>
              <w:bottom w:w="210" w:type="dxa"/>
              <w:end w:w="100" w:type="dxa"/>
            </w:tcMar>
          </w:tcPr>
          <w:p>
            <w:pPr>
              <w:spacing w:after="0"/>
            </w:pPr>
            <w:r>
              <w:rPr>
                <w:color w:val="5F6E78"/>
              </w:rPr>
              <w:t>Describe confirm, correct, reject, missing, and not-applicable review steps</w:t>
            </w:r>
          </w:p>
        </w:tc>
      </w:tr>
      <w:tr>
        <w:tc>
          <w:tcPr>
            <w:tcW w:type="dxa" w:w="5184"/>
            <w:vAlign w:val="center"/>
            <w:shd w:fill="EEF7F5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071C2C"/>
              </w:rPr>
              <w:t>Decision output</w:t>
            </w:r>
          </w:p>
        </w:tc>
        <w:tc>
          <w:tcPr>
            <w:tcW w:type="dxa" w:w="5184"/>
            <w:vAlign w:val="center"/>
            <w:tcMar>
              <w:top w:w="110" w:type="dxa"/>
              <w:start w:w="100" w:type="dxa"/>
              <w:bottom w:w="210" w:type="dxa"/>
              <w:end w:w="100" w:type="dxa"/>
            </w:tcMar>
          </w:tcPr>
          <w:p>
            <w:pPr>
              <w:spacing w:after="0"/>
            </w:pPr>
            <w:r>
              <w:rPr>
                <w:color w:val="5F6E78"/>
              </w:rPr>
              <w:t>Describe required report, DRL, OS, dashboard, or client-facing output</w:t>
            </w:r>
          </w:p>
        </w:tc>
      </w:tr>
    </w:tbl>
    <w:p>
      <w:pPr>
        <w:spacing w:after="0"/>
      </w:pPr>
    </w:p>
    <w:p>
      <w:pPr>
        <w:pStyle w:val="Heading1"/>
      </w:pPr>
      <w:r>
        <w:t>Timing and users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shd w:fill="EEF7F5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071C2C"/>
              </w:rPr>
              <w:t>Intended users</w:t>
            </w:r>
          </w:p>
        </w:tc>
        <w:tc>
          <w:tcPr>
            <w:tcW w:type="dxa" w:w="5184"/>
            <w:vAlign w:val="center"/>
            <w:tcMar>
              <w:top w:w="110" w:type="dxa"/>
              <w:start w:w="100" w:type="dxa"/>
              <w:bottom w:w="210" w:type="dxa"/>
              <w:end w:w="100" w:type="dxa"/>
            </w:tcMar>
          </w:tcPr>
          <w:p>
            <w:pPr>
              <w:spacing w:after="0"/>
            </w:pPr>
            <w:r>
              <w:rPr>
                <w:color w:val="5F6E78"/>
              </w:rPr>
              <w:t>List user roles and approximate count</w:t>
            </w:r>
          </w:p>
        </w:tc>
      </w:tr>
      <w:tr>
        <w:tc>
          <w:tcPr>
            <w:tcW w:type="dxa" w:w="5184"/>
            <w:vAlign w:val="center"/>
            <w:shd w:fill="EEF7F5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071C2C"/>
              </w:rPr>
              <w:t>Desired pilot start</w:t>
            </w:r>
          </w:p>
        </w:tc>
        <w:tc>
          <w:tcPr>
            <w:tcW w:type="dxa" w:w="5184"/>
            <w:vAlign w:val="center"/>
            <w:tcMar>
              <w:top w:w="110" w:type="dxa"/>
              <w:start w:w="100" w:type="dxa"/>
              <w:bottom w:w="210" w:type="dxa"/>
              <w:end w:w="100" w:type="dxa"/>
            </w:tcMar>
          </w:tcPr>
          <w:p>
            <w:pPr>
              <w:spacing w:after="0"/>
            </w:pPr>
            <w:r>
              <w:rPr>
                <w:color w:val="5F6E78"/>
              </w:rPr>
              <w:t>Enter date or timing</w:t>
            </w:r>
          </w:p>
        </w:tc>
      </w:tr>
      <w:tr>
        <w:tc>
          <w:tcPr>
            <w:tcW w:type="dxa" w:w="5184"/>
            <w:vAlign w:val="center"/>
            <w:shd w:fill="EEF7F5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071C2C"/>
              </w:rPr>
              <w:t>Required completion</w:t>
            </w:r>
          </w:p>
        </w:tc>
        <w:tc>
          <w:tcPr>
            <w:tcW w:type="dxa" w:w="5184"/>
            <w:vAlign w:val="center"/>
            <w:tcMar>
              <w:top w:w="110" w:type="dxa"/>
              <w:start w:w="100" w:type="dxa"/>
              <w:bottom w:w="210" w:type="dxa"/>
              <w:end w:w="100" w:type="dxa"/>
            </w:tcMar>
          </w:tcPr>
          <w:p>
            <w:pPr>
              <w:spacing w:after="0"/>
            </w:pPr>
            <w:r>
              <w:rPr>
                <w:color w:val="5F6E78"/>
              </w:rPr>
              <w:t>Enter date or timing</w:t>
            </w:r>
          </w:p>
        </w:tc>
      </w:tr>
      <w:tr>
        <w:tc>
          <w:tcPr>
            <w:tcW w:type="dxa" w:w="5184"/>
            <w:vAlign w:val="center"/>
            <w:shd w:fill="EEF7F5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071C2C"/>
              </w:rPr>
              <w:t>Document volume</w:t>
            </w:r>
          </w:p>
        </w:tc>
        <w:tc>
          <w:tcPr>
            <w:tcW w:type="dxa" w:w="5184"/>
            <w:vAlign w:val="center"/>
            <w:tcMar>
              <w:top w:w="110" w:type="dxa"/>
              <w:start w:w="100" w:type="dxa"/>
              <w:bottom w:w="210" w:type="dxa"/>
              <w:end w:w="100" w:type="dxa"/>
            </w:tcMar>
          </w:tcPr>
          <w:p>
            <w:pPr>
              <w:spacing w:after="0"/>
            </w:pPr>
            <w:r>
              <w:rPr>
                <w:color w:val="5F6E78"/>
              </w:rPr>
              <w:t>Approximate number of documents and page range</w:t>
            </w:r>
          </w:p>
        </w:tc>
      </w:tr>
    </w:tbl>
    <w:p>
      <w:pPr>
        <w:spacing w:after="0"/>
      </w:pPr>
    </w:p>
    <w:p>
      <w:pPr>
        <w:pStyle w:val="Heading1"/>
      </w:pPr>
      <w:r>
        <w:t>Founding parser pilot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shd w:fill="EEF7F5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071C2C"/>
              </w:rPr>
              <w:t>Founding license interest</w:t>
            </w:r>
          </w:p>
        </w:tc>
        <w:tc>
          <w:tcPr>
            <w:tcW w:type="dxa" w:w="5184"/>
            <w:vAlign w:val="center"/>
            <w:tcMar>
              <w:top w:w="110" w:type="dxa"/>
              <w:start w:w="100" w:type="dxa"/>
              <w:bottom w:w="210" w:type="dxa"/>
              <w:end w:w="100" w:type="dxa"/>
            </w:tcMar>
          </w:tcPr>
          <w:p>
            <w:pPr>
              <w:spacing w:after="0"/>
            </w:pPr>
            <w:r>
              <w:rPr>
                <w:color w:val="5F6E78"/>
              </w:rPr>
              <w:t>Yes / No / Maybe — SBC or OE / New Hire Guide parser</w:t>
            </w:r>
          </w:p>
        </w:tc>
      </w:tr>
      <w:tr>
        <w:tc>
          <w:tcPr>
            <w:tcW w:type="dxa" w:w="5184"/>
            <w:vAlign w:val="center"/>
            <w:shd w:fill="EEF7F5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071C2C"/>
              </w:rPr>
              <w:t>Available reviewers</w:t>
            </w:r>
          </w:p>
        </w:tc>
        <w:tc>
          <w:tcPr>
            <w:tcW w:type="dxa" w:w="5184"/>
            <w:vAlign w:val="center"/>
            <w:tcMar>
              <w:top w:w="110" w:type="dxa"/>
              <w:start w:w="100" w:type="dxa"/>
              <w:bottom w:w="210" w:type="dxa"/>
              <w:end w:w="100" w:type="dxa"/>
            </w:tcMar>
          </w:tcPr>
          <w:p>
            <w:pPr>
              <w:spacing w:after="0"/>
            </w:pPr>
            <w:r>
              <w:rPr>
                <w:color w:val="5F6E78"/>
              </w:rPr>
              <w:t>Identify reviewers and expected validation approach</w:t>
            </w:r>
          </w:p>
        </w:tc>
      </w:tr>
      <w:tr>
        <w:tc>
          <w:tcPr>
            <w:tcW w:type="dxa" w:w="5184"/>
            <w:vAlign w:val="center"/>
            <w:shd w:fill="EEF7F5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071C2C"/>
              </w:rPr>
              <w:t>Test documents</w:t>
            </w:r>
          </w:p>
        </w:tc>
        <w:tc>
          <w:tcPr>
            <w:tcW w:type="dxa" w:w="5184"/>
            <w:vAlign w:val="center"/>
            <w:tcMar>
              <w:top w:w="110" w:type="dxa"/>
              <w:start w:w="100" w:type="dxa"/>
              <w:bottom w:w="210" w:type="dxa"/>
              <w:end w:w="100" w:type="dxa"/>
            </w:tcMar>
          </w:tcPr>
          <w:p>
            <w:pPr>
              <w:spacing w:after="0"/>
            </w:pPr>
            <w:r>
              <w:rPr>
                <w:color w:val="5F6E78"/>
              </w:rPr>
              <w:t>Describe representative, lawfully shareable documents available for testing</w:t>
            </w:r>
          </w:p>
        </w:tc>
      </w:tr>
      <w:tr>
        <w:tc>
          <w:tcPr>
            <w:tcW w:type="dxa" w:w="5184"/>
            <w:vAlign w:val="center"/>
            <w:shd w:fill="EEF7F5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  <w:color w:val="071C2C"/>
              </w:rPr>
              <w:t>Success criteria</w:t>
            </w:r>
          </w:p>
        </w:tc>
        <w:tc>
          <w:tcPr>
            <w:tcW w:type="dxa" w:w="5184"/>
            <w:vAlign w:val="center"/>
            <w:tcMar>
              <w:top w:w="110" w:type="dxa"/>
              <w:start w:w="100" w:type="dxa"/>
              <w:bottom w:w="210" w:type="dxa"/>
              <w:end w:w="100" w:type="dxa"/>
            </w:tcMar>
          </w:tcPr>
          <w:p>
            <w:pPr>
              <w:spacing w:after="0"/>
            </w:pPr>
            <w:r>
              <w:rPr>
                <w:color w:val="5F6E78"/>
              </w:rPr>
              <w:t>Describe what would make the pilot useful and worth continuing</w:t>
            </w:r>
          </w:p>
        </w:tc>
      </w:tr>
    </w:tbl>
    <w:p>
      <w:pPr>
        <w:spacing w:after="0"/>
      </w:pPr>
    </w:p>
    <w:p>
      <w:pPr>
        <w:pStyle w:val="Heading1"/>
      </w:pPr>
      <w:r>
        <w:t>Acknowledgment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tcMar>
              <w:top w:w="120" w:type="dxa"/>
              <w:start w:w="140" w:type="dxa"/>
              <w:bottom w:w="170" w:type="dxa"/>
              <w:end w:w="140" w:type="dxa"/>
            </w:tcMar>
          </w:tcPr>
          <w:p>
            <w:r>
              <w:t>☐ I understand this is an intake request only and not a legal, tax, ERISA, accounting, actuarial, investment, insurance-placement, fiduciary, regulatory, benefits, or transaction opinion. Any pilot or license requires separate written terms.</w:t>
            </w:r>
          </w:p>
          <w:p>
            <w:r>
              <w:rPr>
                <w:i/>
              </w:rPr>
              <w:t>Name / signature: ____________________________________    Date: __________________</w:t>
            </w:r>
          </w:p>
        </w:tc>
      </w:tr>
    </w:tbl>
    <w:p/>
    <w:p>
      <w:pPr>
        <w:jc w:val="center"/>
      </w:pPr>
      <w:r>
        <w:rPr>
          <w:b/>
          <w:color w:val="0B7D78"/>
        </w:rPr>
        <w:t>Email completed intake to admin@nautilusintelligence.ai</w:t>
      </w:r>
    </w:p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737D"/>
        <w:sz w:val="16"/>
      </w:rPr>
      <w:t>Nautilus Intelligence, LLC  |  nautilusintelligence.ai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1C2C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71C2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1C2C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